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bookmarkStart w:id="0" w:name="_GoBack"/>
      <w:bookmarkEnd w:id="0"/>
      <w:r>
        <w:rPr>
          <w:rFonts w:ascii="Arial" w:hAnsi="Arial" w:cs="Arial"/>
          <w:b/>
        </w:rPr>
        <w:t xml:space="preserve"> VII</w:t>
      </w:r>
    </w:p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172BE" w:rsidRDefault="00AE4D23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RECERTIFICACIÓ</w:t>
      </w:r>
      <w:r w:rsidR="002172BE">
        <w:rPr>
          <w:rFonts w:ascii="Arial" w:hAnsi="Arial" w:cs="Arial"/>
          <w:b/>
        </w:rPr>
        <w:t>N</w:t>
      </w:r>
    </w:p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1°</w:t>
      </w:r>
      <w:r>
        <w:rPr>
          <w:rFonts w:ascii="Arial" w:hAnsi="Arial" w:cs="Arial"/>
        </w:rPr>
        <w:t>: La recertificación es el acto por el cual la FEFARA, empleando criterios preestablecidos reconoce, a través de un proceso de evaluación, que el profesional farmacéutico previamente certificado y que así lo requiera, mantiene actualizados sus conocimientos y habilidades y ha desplegado sus actitudes dentro del marco ético correspondiente.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D23">
        <w:rPr>
          <w:rFonts w:ascii="Arial" w:hAnsi="Arial" w:cs="Arial"/>
          <w:b/>
        </w:rPr>
        <w:t>Artículo 2°</w:t>
      </w:r>
      <w:r>
        <w:rPr>
          <w:rFonts w:ascii="Arial" w:hAnsi="Arial" w:cs="Arial"/>
        </w:rPr>
        <w:t>: Cumplido el plazo de vigencia de la certificación ésta caduca, debiendo el profesional tramitar su recertificación que será, al igual que la certificación, voluntaria y gratuita.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3°</w:t>
      </w:r>
      <w:r>
        <w:rPr>
          <w:rFonts w:ascii="Arial" w:hAnsi="Arial" w:cs="Arial"/>
        </w:rPr>
        <w:t>: Con una antelación no menor a 30 (treinta) días corridos a la fecha del vencimiento de su certificado, el farmacéutico deberá presentar su solicitud de recertificación. Para ello la FEFARA proporcionará un formulario cuyo modelo integra el presente como ANEXO IV.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AE4D23">
        <w:rPr>
          <w:rFonts w:ascii="Arial" w:hAnsi="Arial" w:cs="Arial"/>
          <w:b/>
        </w:rPr>
        <w:t>rtículo</w:t>
      </w:r>
      <w:r>
        <w:rPr>
          <w:rFonts w:ascii="Arial" w:hAnsi="Arial" w:cs="Arial"/>
          <w:b/>
        </w:rPr>
        <w:t xml:space="preserve"> 4°</w:t>
      </w:r>
      <w:r>
        <w:rPr>
          <w:rFonts w:ascii="Arial" w:hAnsi="Arial" w:cs="Arial"/>
        </w:rPr>
        <w:t>: Junto con la presentación de su solicitud</w:t>
      </w:r>
      <w:r w:rsidR="00AE4D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profesional debe acompañar igual documentación que la que se exige para pedir la certificación y cumplir con los mismos requisitos que se exigen para ésta, especificados </w:t>
      </w:r>
      <w:r w:rsidR="00AE4D23">
        <w:rPr>
          <w:rFonts w:ascii="Arial" w:hAnsi="Arial" w:cs="Arial"/>
        </w:rPr>
        <w:t>en el artículo 10 del Anexo II.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5°:</w:t>
      </w:r>
      <w:r>
        <w:rPr>
          <w:rFonts w:ascii="Arial" w:hAnsi="Arial" w:cs="Arial"/>
        </w:rPr>
        <w:t xml:space="preserve"> Todo farmacéutico certificado que aspire a obtener su recertificación profesional, debe alcanzar la cantidad de 50 (cincuenta) créditos obtenidos durante los 5 (cinco) años anteriores, con un mínimo de 5 (cinco) créditos anuales. El cumplimiento de las recertificaciones en forma continua, beneficiarán al profesional con un 10 (diez) % de bonificación en los créditos exigidos para la primera recertificación, un 15 (quince) % para la segunda recertificación y un 20 (veinte) % a partir de la tercera recertificación. Si el postulante no alcanzara el número mínimo de créditos requeridos para recertificar, podrá presentarse a una entrevista personal y aprobar un examen de competencia, de acuerdo con las especificaciones de este documento.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6°</w:t>
      </w:r>
      <w:r>
        <w:rPr>
          <w:rFonts w:ascii="Arial" w:hAnsi="Arial" w:cs="Arial"/>
        </w:rPr>
        <w:t>: Cumplidos los requisitos señalados precedentemente se observará igual procedimiento que el previsto para el trámite de certificación.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7°</w:t>
      </w:r>
      <w:r>
        <w:rPr>
          <w:rFonts w:ascii="Arial" w:hAnsi="Arial" w:cs="Arial"/>
        </w:rPr>
        <w:t>: Constituye un derecho del farmacéutico recertificado en la FEFA</w:t>
      </w:r>
      <w:r w:rsidR="00985C4E">
        <w:rPr>
          <w:rFonts w:ascii="Arial" w:hAnsi="Arial" w:cs="Arial"/>
        </w:rPr>
        <w:t>RA, el anuncio de tal condición.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2C60" w:rsidRDefault="00202C60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B467A" w:rsidRPr="002664A4" w:rsidRDefault="00202C60" w:rsidP="00202C60">
      <w:pPr>
        <w:jc w:val="right"/>
        <w:rPr>
          <w:rFonts w:ascii="Arial" w:hAnsi="Arial" w:cs="Arial"/>
          <w:sz w:val="16"/>
          <w:szCs w:val="16"/>
        </w:rPr>
      </w:pPr>
      <w:r w:rsidRPr="002664A4">
        <w:rPr>
          <w:rFonts w:ascii="Arial" w:hAnsi="Arial" w:cs="Arial"/>
          <w:sz w:val="16"/>
          <w:szCs w:val="16"/>
        </w:rPr>
        <w:t>Fecha última actualización 18/06/2020</w:t>
      </w:r>
    </w:p>
    <w:p w:rsidR="002664A4" w:rsidRPr="002664A4" w:rsidRDefault="002664A4" w:rsidP="002664A4">
      <w:pPr>
        <w:jc w:val="right"/>
        <w:rPr>
          <w:rFonts w:ascii="Arial" w:hAnsi="Arial" w:cs="Arial"/>
          <w:sz w:val="16"/>
          <w:szCs w:val="16"/>
          <w:lang w:eastAsia="es-AR"/>
        </w:rPr>
      </w:pPr>
      <w:r w:rsidRPr="002664A4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2664A4" w:rsidRPr="002664A4" w:rsidRDefault="002664A4" w:rsidP="00202C60">
      <w:pPr>
        <w:jc w:val="right"/>
        <w:rPr>
          <w:rFonts w:ascii="Arial" w:hAnsi="Arial" w:cs="Arial"/>
          <w:sz w:val="16"/>
          <w:szCs w:val="16"/>
        </w:rPr>
      </w:pPr>
    </w:p>
    <w:sectPr w:rsidR="002664A4" w:rsidRPr="002664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9B" w:rsidRDefault="00D0309B" w:rsidP="002172BE">
      <w:r>
        <w:separator/>
      </w:r>
    </w:p>
  </w:endnote>
  <w:endnote w:type="continuationSeparator" w:id="0">
    <w:p w:rsidR="00D0309B" w:rsidRDefault="00D0309B" w:rsidP="002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9B" w:rsidRDefault="00D0309B" w:rsidP="002172BE">
      <w:r>
        <w:separator/>
      </w:r>
    </w:p>
  </w:footnote>
  <w:footnote w:type="continuationSeparator" w:id="0">
    <w:p w:rsidR="00D0309B" w:rsidRDefault="00D0309B" w:rsidP="0021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E" w:rsidRDefault="00460BEA" w:rsidP="002172BE">
    <w:pPr>
      <w:pStyle w:val="Encabezado"/>
      <w:jc w:val="right"/>
    </w:pPr>
    <w:r w:rsidRPr="00333532">
      <w:rPr>
        <w:noProof/>
        <w:lang w:eastAsia="es-AR"/>
      </w:rPr>
      <w:drawing>
        <wp:inline distT="0" distB="0" distL="0" distR="0">
          <wp:extent cx="5400040" cy="7054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BE"/>
    <w:rsid w:val="00127240"/>
    <w:rsid w:val="0014336C"/>
    <w:rsid w:val="00202C60"/>
    <w:rsid w:val="002172BE"/>
    <w:rsid w:val="002664A4"/>
    <w:rsid w:val="003E28D1"/>
    <w:rsid w:val="00460BEA"/>
    <w:rsid w:val="00555580"/>
    <w:rsid w:val="00582129"/>
    <w:rsid w:val="00645A2C"/>
    <w:rsid w:val="006A4D80"/>
    <w:rsid w:val="006B467A"/>
    <w:rsid w:val="007D4B70"/>
    <w:rsid w:val="00985C4E"/>
    <w:rsid w:val="009C7F31"/>
    <w:rsid w:val="00A237BF"/>
    <w:rsid w:val="00AE4D23"/>
    <w:rsid w:val="00B921DC"/>
    <w:rsid w:val="00D0309B"/>
    <w:rsid w:val="00EB7563"/>
    <w:rsid w:val="00F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45D17-0752-47AE-BF55-3E845E6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2B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17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2BE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2BE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2B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Ani</cp:lastModifiedBy>
  <cp:revision>4</cp:revision>
  <dcterms:created xsi:type="dcterms:W3CDTF">2020-07-10T20:39:00Z</dcterms:created>
  <dcterms:modified xsi:type="dcterms:W3CDTF">2025-08-08T14:17:00Z</dcterms:modified>
</cp:coreProperties>
</file>